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76300"/>
            <wp:effectExtent l="0" t="0" r="0" b="0"/>
            <wp:docPr id="2" name="Рисунок 2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E22" w:rsidRDefault="009F4E22" w:rsidP="009F4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9F4E22" w:rsidRDefault="009F4E22" w:rsidP="009F4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9F4E22" w:rsidRDefault="009F4E22" w:rsidP="009F4E22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9F4E22" w:rsidRDefault="009F4E22" w:rsidP="009F4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.4pt" to="48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9F4E22" w:rsidRDefault="009F4E22" w:rsidP="009F4E22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31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C7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2019 г.  №</w:t>
      </w:r>
      <w:r w:rsidR="00EA131A">
        <w:rPr>
          <w:rFonts w:ascii="Times New Roman" w:eastAsia="Times New Roman" w:hAnsi="Times New Roman"/>
          <w:sz w:val="24"/>
          <w:szCs w:val="24"/>
          <w:lang w:eastAsia="ru-RU"/>
        </w:rPr>
        <w:t xml:space="preserve"> 795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4E22" w:rsidRDefault="009F4E22" w:rsidP="009F4E22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  <w:proofErr w:type="spellEnd"/>
    </w:p>
    <w:p w:rsidR="009F4E22" w:rsidRDefault="009F4E22" w:rsidP="009F4E22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E22" w:rsidRDefault="009F4E22" w:rsidP="009F4E22">
      <w:pPr>
        <w:spacing w:after="0" w:line="240" w:lineRule="auto"/>
        <w:ind w:right="5952"/>
        <w:jc w:val="both"/>
        <w:rPr>
          <w:rFonts w:ascii="Times New Roman" w:eastAsia="Calibri" w:hAnsi="Times New Roman"/>
        </w:rPr>
      </w:pPr>
    </w:p>
    <w:p w:rsidR="00DD5CC8" w:rsidRDefault="00DD5CC8" w:rsidP="00DD5CC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значений базовых нормативов  затрат на оказание муниципальных услуг, применяемых при расчете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 финансового обеспечения выполнения муниципального задания  Муниципального учреждения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Чебаркульского городского округа «Комплексный центр социального обслуживания населения»  на 2020  год</w:t>
      </w: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692" w:rsidRDefault="0009669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                           от 06.10.2003 г. № 131-ФЗ «Об общих принципах органов местного самоуправления в Российской Федерации», постановлением администрации Чебаркульского городского округа от 09.07.2018г. №  424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статьями 36, 37 Устава Чебаркульского городского округа,  </w:t>
      </w:r>
      <w:proofErr w:type="gramEnd"/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9F4E22" w:rsidRDefault="009F4E22" w:rsidP="00DD73F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</w:t>
      </w:r>
      <w:r w:rsidR="00DD73F5" w:rsidRPr="0080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базовых нормативов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затрат на оказание муниципальных услуг, применяемых при расчете </w:t>
      </w:r>
      <w:proofErr w:type="gramStart"/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 финансового обеспечения вып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олнения муниципального задания 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учреждения</w:t>
      </w:r>
      <w:proofErr w:type="gramEnd"/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Чебаркульского городского округа «Комплексный центр социального обслуживания н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аселения» на 2020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3F5" w:rsidRPr="0080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(прилагается)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5142F" w:rsidRDefault="00D5142F" w:rsidP="00DD73F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BA425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Чебаркульского городского округа от 28.12.2018 года № 938 « Об утверждении значений базовых нормативов затрат на оказание муниципальных услуг, применяемых при расчете </w:t>
      </w:r>
      <w:proofErr w:type="gramStart"/>
      <w:r w:rsidR="00BA425B">
        <w:rPr>
          <w:rFonts w:ascii="Times New Roman" w:hAnsi="Times New Roman"/>
          <w:sz w:val="28"/>
          <w:szCs w:val="28"/>
        </w:rPr>
        <w:t>объема финансового обеспечения выполнения муниципального задания Муниципального учреждения</w:t>
      </w:r>
      <w:proofErr w:type="gramEnd"/>
      <w:r w:rsidR="00BA425B">
        <w:rPr>
          <w:rFonts w:ascii="Times New Roman" w:hAnsi="Times New Roman"/>
          <w:sz w:val="28"/>
          <w:szCs w:val="28"/>
        </w:rPr>
        <w:t xml:space="preserve"> Чебаркульского городского округа «Комплексный центр социального обслуживания населения» на 2019 год».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425B" w:rsidRDefault="009F4E22" w:rsidP="00BA4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BA425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BA425B" w:rsidRDefault="00BA425B" w:rsidP="00BA425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A416EA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C3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</w:t>
      </w: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</w:t>
      </w:r>
      <w:r w:rsidR="00A41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С.А. </w:t>
      </w:r>
      <w:r w:rsidR="00A41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4E22" w:rsidRDefault="009F4E22" w:rsidP="009F4E22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85E" w:rsidRDefault="003F785E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3F5" w:rsidRDefault="00DD73F5" w:rsidP="003F6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C42" w:rsidRDefault="00837C42" w:rsidP="008C4B0A">
      <w:pPr>
        <w:spacing w:after="0"/>
        <w:jc w:val="both"/>
        <w:rPr>
          <w:rFonts w:ascii="Times New Roman" w:hAnsi="Times New Roman"/>
          <w:sz w:val="24"/>
          <w:szCs w:val="24"/>
        </w:rPr>
        <w:sectPr w:rsidR="00837C42" w:rsidSect="000150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EA131A" w:rsidRDefault="00EA131A" w:rsidP="00EA1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EA131A" w:rsidRDefault="00EA131A" w:rsidP="00EA1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Чебаркульского городского округа</w:t>
      </w:r>
    </w:p>
    <w:p w:rsidR="00EA131A" w:rsidRDefault="00EA131A" w:rsidP="00EA13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«___»__________ 2019 г. № ____</w:t>
      </w:r>
    </w:p>
    <w:p w:rsidR="00EA131A" w:rsidRDefault="00EA131A" w:rsidP="00EA13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131A" w:rsidRDefault="00EA131A" w:rsidP="00EA131A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Базовые нормативы затрат на оказание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услуг, оказываемых  Муниципальным  учреждением  Чебаркульского городского округа «Комплексный центр социального обслуживания населения»  на 2020 год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5"/>
        <w:gridCol w:w="1843"/>
        <w:gridCol w:w="1701"/>
        <w:gridCol w:w="2126"/>
        <w:gridCol w:w="3576"/>
        <w:gridCol w:w="2597"/>
      </w:tblGrid>
      <w:tr w:rsidR="00EA131A" w:rsidTr="00EA131A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показателей объема муниципальной услуги в натуральных показателях (ед.)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норматив затрат на единицу объема (руб.)</w:t>
            </w:r>
          </w:p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Нормативные затраты на оказание муниципальной услуги (работы) (руб.)</w:t>
            </w:r>
          </w:p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оплату труда с начислениями на выплату по оплате труда работников, непосредственно связанных с оказанием муниципальной услуги, включая административно-управленческий персонал (руб.)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коммунальные услуги и содержание недвижимого имущества, необходимого для выполнения муниципального задания на оказание муниципальной услуги (руб.)</w:t>
            </w:r>
          </w:p>
        </w:tc>
      </w:tr>
      <w:tr w:rsidR="00EA131A" w:rsidTr="00EA131A"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учреждение Чебаркульского городского округа </w:t>
            </w:r>
          </w:p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Комплексный центр социального обслуживания населения»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131A" w:rsidTr="00EA131A">
        <w:trPr>
          <w:trHeight w:val="10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59 020,99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2 286 059,80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8 496 607,00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136 216,40</w:t>
            </w:r>
          </w:p>
        </w:tc>
      </w:tr>
      <w:tr w:rsidR="00EA131A" w:rsidTr="00EA131A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21 603,41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2 111 625,40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2 288 877,00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1A" w:rsidRDefault="00EA1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136 214,40</w:t>
            </w:r>
          </w:p>
        </w:tc>
      </w:tr>
    </w:tbl>
    <w:p w:rsidR="00EA131A" w:rsidRDefault="00EA131A" w:rsidP="00EA131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814619" w:rsidRDefault="00814619" w:rsidP="00814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619" w:rsidSect="00F15ABB">
      <w:type w:val="evenPage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45" w:rsidRDefault="002F6945">
      <w:pPr>
        <w:spacing w:after="0" w:line="240" w:lineRule="auto"/>
      </w:pPr>
      <w:r>
        <w:separator/>
      </w:r>
    </w:p>
  </w:endnote>
  <w:endnote w:type="continuationSeparator" w:id="0">
    <w:p w:rsidR="002F6945" w:rsidRDefault="002F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45" w:rsidRDefault="002F6945">
      <w:pPr>
        <w:spacing w:after="0" w:line="240" w:lineRule="auto"/>
      </w:pPr>
      <w:r>
        <w:separator/>
      </w:r>
    </w:p>
  </w:footnote>
  <w:footnote w:type="continuationSeparator" w:id="0">
    <w:p w:rsidR="002F6945" w:rsidRDefault="002F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B" w:rsidRDefault="005E11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503D"/>
    <w:rsid w:val="000243D5"/>
    <w:rsid w:val="00036E13"/>
    <w:rsid w:val="00056B32"/>
    <w:rsid w:val="00066A00"/>
    <w:rsid w:val="00067F1D"/>
    <w:rsid w:val="000765CF"/>
    <w:rsid w:val="00096692"/>
    <w:rsid w:val="00097B75"/>
    <w:rsid w:val="000A503B"/>
    <w:rsid w:val="000E0907"/>
    <w:rsid w:val="000F578F"/>
    <w:rsid w:val="001228A0"/>
    <w:rsid w:val="00135D3F"/>
    <w:rsid w:val="001F4A29"/>
    <w:rsid w:val="00205C24"/>
    <w:rsid w:val="002219B5"/>
    <w:rsid w:val="00251574"/>
    <w:rsid w:val="002A3CCC"/>
    <w:rsid w:val="002A69F2"/>
    <w:rsid w:val="002C331A"/>
    <w:rsid w:val="002F6945"/>
    <w:rsid w:val="003108D4"/>
    <w:rsid w:val="00312F27"/>
    <w:rsid w:val="00342F8B"/>
    <w:rsid w:val="00360A3E"/>
    <w:rsid w:val="003710E7"/>
    <w:rsid w:val="003C17E5"/>
    <w:rsid w:val="003C3F8D"/>
    <w:rsid w:val="003E1FA9"/>
    <w:rsid w:val="003F112A"/>
    <w:rsid w:val="003F6DE5"/>
    <w:rsid w:val="003F785E"/>
    <w:rsid w:val="004055F3"/>
    <w:rsid w:val="00413719"/>
    <w:rsid w:val="00421ADA"/>
    <w:rsid w:val="00486CD9"/>
    <w:rsid w:val="00492C16"/>
    <w:rsid w:val="004A1E44"/>
    <w:rsid w:val="004B2C24"/>
    <w:rsid w:val="004C7F9B"/>
    <w:rsid w:val="004F3156"/>
    <w:rsid w:val="00525C71"/>
    <w:rsid w:val="0054419E"/>
    <w:rsid w:val="00561EA9"/>
    <w:rsid w:val="0058059A"/>
    <w:rsid w:val="005918F9"/>
    <w:rsid w:val="005948A3"/>
    <w:rsid w:val="005953CB"/>
    <w:rsid w:val="005B4BBE"/>
    <w:rsid w:val="005C0981"/>
    <w:rsid w:val="005E110B"/>
    <w:rsid w:val="005E7A40"/>
    <w:rsid w:val="00607F37"/>
    <w:rsid w:val="00624D84"/>
    <w:rsid w:val="006340CB"/>
    <w:rsid w:val="00677E6E"/>
    <w:rsid w:val="0068259C"/>
    <w:rsid w:val="006B229A"/>
    <w:rsid w:val="006B36E9"/>
    <w:rsid w:val="006F4D3E"/>
    <w:rsid w:val="006F54B2"/>
    <w:rsid w:val="00742633"/>
    <w:rsid w:val="007C1AAC"/>
    <w:rsid w:val="007C3FA1"/>
    <w:rsid w:val="007E5942"/>
    <w:rsid w:val="00814619"/>
    <w:rsid w:val="00830082"/>
    <w:rsid w:val="00833B4A"/>
    <w:rsid w:val="00837C42"/>
    <w:rsid w:val="00856613"/>
    <w:rsid w:val="008852AB"/>
    <w:rsid w:val="008A3DE0"/>
    <w:rsid w:val="008A530B"/>
    <w:rsid w:val="008C4B0A"/>
    <w:rsid w:val="008D6921"/>
    <w:rsid w:val="008E0229"/>
    <w:rsid w:val="00932EF8"/>
    <w:rsid w:val="009446AD"/>
    <w:rsid w:val="009568FC"/>
    <w:rsid w:val="00984366"/>
    <w:rsid w:val="009B7883"/>
    <w:rsid w:val="009D1252"/>
    <w:rsid w:val="009E1CBB"/>
    <w:rsid w:val="009E6C45"/>
    <w:rsid w:val="009F4E22"/>
    <w:rsid w:val="00A04A6F"/>
    <w:rsid w:val="00A2581E"/>
    <w:rsid w:val="00A31439"/>
    <w:rsid w:val="00A416EA"/>
    <w:rsid w:val="00A477F1"/>
    <w:rsid w:val="00A63C17"/>
    <w:rsid w:val="00A9301F"/>
    <w:rsid w:val="00AC0FF4"/>
    <w:rsid w:val="00AC5F7D"/>
    <w:rsid w:val="00AC6119"/>
    <w:rsid w:val="00AE2058"/>
    <w:rsid w:val="00B03C18"/>
    <w:rsid w:val="00B17219"/>
    <w:rsid w:val="00B27AD5"/>
    <w:rsid w:val="00B33B12"/>
    <w:rsid w:val="00B477B1"/>
    <w:rsid w:val="00B60179"/>
    <w:rsid w:val="00B96181"/>
    <w:rsid w:val="00BA425B"/>
    <w:rsid w:val="00BB5464"/>
    <w:rsid w:val="00BC14D1"/>
    <w:rsid w:val="00BE16EA"/>
    <w:rsid w:val="00BE383A"/>
    <w:rsid w:val="00BE3F75"/>
    <w:rsid w:val="00C01D16"/>
    <w:rsid w:val="00C02D31"/>
    <w:rsid w:val="00C0615B"/>
    <w:rsid w:val="00C57B1D"/>
    <w:rsid w:val="00C85796"/>
    <w:rsid w:val="00CA485E"/>
    <w:rsid w:val="00CC23BC"/>
    <w:rsid w:val="00CC73A5"/>
    <w:rsid w:val="00CD108F"/>
    <w:rsid w:val="00CF3820"/>
    <w:rsid w:val="00D15617"/>
    <w:rsid w:val="00D207FD"/>
    <w:rsid w:val="00D23BE5"/>
    <w:rsid w:val="00D272F4"/>
    <w:rsid w:val="00D3358C"/>
    <w:rsid w:val="00D475A8"/>
    <w:rsid w:val="00D5142F"/>
    <w:rsid w:val="00D92407"/>
    <w:rsid w:val="00DA11BB"/>
    <w:rsid w:val="00DA15E3"/>
    <w:rsid w:val="00DA2464"/>
    <w:rsid w:val="00DD2055"/>
    <w:rsid w:val="00DD5CC8"/>
    <w:rsid w:val="00DD6BA7"/>
    <w:rsid w:val="00DD73F5"/>
    <w:rsid w:val="00DE396D"/>
    <w:rsid w:val="00E00E03"/>
    <w:rsid w:val="00E56267"/>
    <w:rsid w:val="00E862A5"/>
    <w:rsid w:val="00EA131A"/>
    <w:rsid w:val="00EB03AB"/>
    <w:rsid w:val="00F15ABB"/>
    <w:rsid w:val="00F310BB"/>
    <w:rsid w:val="00F87EE2"/>
    <w:rsid w:val="00FB5E1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8280-8065-4F66-90E8-8D17EE2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2019-04-17T03:37:00Z</cp:lastPrinted>
  <dcterms:created xsi:type="dcterms:W3CDTF">2018-09-06T04:04:00Z</dcterms:created>
  <dcterms:modified xsi:type="dcterms:W3CDTF">2020-01-14T06:04:00Z</dcterms:modified>
</cp:coreProperties>
</file>